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drawing>
          <wp:inline distT="0" distB="0" distL="114300" distR="114300">
            <wp:extent cx="3599815" cy="3147060"/>
            <wp:effectExtent l="0" t="0" r="635" b="1524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r="9000" b="40927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3147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Figure S1. Amino acid sequence alignment between RPL23aA and RPL23aB.</w:t>
      </w:r>
    </w:p>
    <w:p>
      <w:pPr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RPL23aA and RPL23aB are 95% identical in amino acid sequences. The black background indicates identical amino acids. The different amino acids are in red highlight.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4B2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姚国安</dc:creator>
  <cp:lastModifiedBy>熊伟</cp:lastModifiedBy>
  <dcterms:modified xsi:type="dcterms:W3CDTF">2020-03-11T06:14:27Z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